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2F12" w14:textId="7C9A6A9B" w:rsidR="006A2779" w:rsidRPr="006A2779" w:rsidRDefault="006A2779" w:rsidP="006A2779">
      <w:pPr>
        <w:pStyle w:val="berschrift1"/>
        <w:jc w:val="center"/>
        <w:rPr>
          <w:b/>
          <w:bCs/>
          <w:color w:val="000000" w:themeColor="text1"/>
        </w:rPr>
      </w:pPr>
      <w:r w:rsidRPr="006A2779">
        <w:rPr>
          <w:b/>
          <w:bCs/>
          <w:color w:val="000000" w:themeColor="text1"/>
        </w:rPr>
        <w:t>Pauschalausschreibung </w:t>
      </w:r>
      <w:r w:rsidRPr="006A2779">
        <w:rPr>
          <w:b/>
          <w:bCs/>
          <w:color w:val="000000" w:themeColor="text1"/>
        </w:rPr>
        <w:t>DAEMMEX ST1-TOS</w:t>
      </w:r>
    </w:p>
    <w:p w14:paraId="2A053C55" w14:textId="77777777" w:rsidR="006A2779" w:rsidRDefault="006A2779" w:rsidP="00B830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CFA2BF2" w14:textId="19AD5792" w:rsidR="004047DF" w:rsidRDefault="004047DF" w:rsidP="00B830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Keller + Dachboden:</w:t>
      </w:r>
    </w:p>
    <w:p w14:paraId="3A64C471" w14:textId="34A0195F" w:rsidR="00B830B1" w:rsidRPr="00ED07D5" w:rsidRDefault="0032492D" w:rsidP="00B830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Pos1) Austausch Bestandstüren mit EI²30-C Türen bis DGL 100/200cm und Sturzausbildung bis 100/50cm.</w:t>
      </w:r>
    </w:p>
    <w:p w14:paraId="46D1068E" w14:textId="2F92A8CE" w:rsidR="00B830B1" w:rsidRPr="00C20FD6" w:rsidRDefault="00B830B1" w:rsidP="00B830B1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  <w:sz w:val="20"/>
          <w:szCs w:val="20"/>
        </w:rPr>
      </w:pPr>
    </w:p>
    <w:p w14:paraId="69E43853" w14:textId="2706DAB7" w:rsidR="00B830B1" w:rsidRPr="006A2779" w:rsidRDefault="00B830B1" w:rsidP="004047DF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CIDFont+F1" w:hAnsiTheme="minorHAnsi" w:cstheme="minorHAnsi"/>
          <w:sz w:val="20"/>
          <w:szCs w:val="20"/>
        </w:rPr>
      </w:pPr>
      <w:r w:rsidRPr="006A2779">
        <w:rPr>
          <w:rFonts w:asciiTheme="minorHAnsi" w:eastAsia="CIDFont+F1" w:hAnsiTheme="minorHAnsi" w:cstheme="minorHAnsi"/>
          <w:sz w:val="20"/>
          <w:szCs w:val="20"/>
        </w:rPr>
        <w:t>Demontage der Bestandstüren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 xml:space="preserve"> inkl. Holzstock bzw. Zarge </w:t>
      </w: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 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 xml:space="preserve">(Holz oder Metall) </w:t>
      </w: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und deren 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 xml:space="preserve">ordnungsgemäßen </w:t>
      </w:r>
      <w:r w:rsidRPr="006A2779">
        <w:rPr>
          <w:rFonts w:asciiTheme="minorHAnsi" w:eastAsia="CIDFont+F1" w:hAnsiTheme="minorHAnsi" w:cstheme="minorHAnsi"/>
          <w:sz w:val="20"/>
          <w:szCs w:val="20"/>
        </w:rPr>
        <w:t>Entsorgung, inkl. vorhandener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 xml:space="preserve"> </w:t>
      </w:r>
      <w:r w:rsidRPr="006A2779">
        <w:rPr>
          <w:rFonts w:asciiTheme="minorHAnsi" w:eastAsia="CIDFont+F1" w:hAnsiTheme="minorHAnsi" w:cstheme="minorHAnsi"/>
          <w:sz w:val="20"/>
          <w:szCs w:val="20"/>
        </w:rPr>
        <w:t>Blindstöcke.</w:t>
      </w:r>
    </w:p>
    <w:p w14:paraId="75220BE8" w14:textId="20EE1FBF" w:rsidR="004047DF" w:rsidRPr="006A2779" w:rsidRDefault="004047DF" w:rsidP="0031215D">
      <w:pPr>
        <w:autoSpaceDE w:val="0"/>
        <w:autoSpaceDN w:val="0"/>
        <w:adjustRightInd w:val="0"/>
        <w:spacing w:after="0" w:line="240" w:lineRule="auto"/>
        <w:ind w:left="708" w:hanging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ab/>
        <w:t>Die Entsorgungskosten sind im EHP einzukalkulieren.</w:t>
      </w:r>
    </w:p>
    <w:p w14:paraId="137801FB" w14:textId="77777777" w:rsidR="004047DF" w:rsidRPr="006A2779" w:rsidRDefault="004047DF" w:rsidP="0031215D">
      <w:pPr>
        <w:autoSpaceDE w:val="0"/>
        <w:autoSpaceDN w:val="0"/>
        <w:adjustRightInd w:val="0"/>
        <w:spacing w:after="0" w:line="240" w:lineRule="auto"/>
        <w:ind w:left="708" w:hanging="708"/>
        <w:rPr>
          <w:rFonts w:eastAsia="CIDFont+F1" w:cstheme="minorHAnsi"/>
          <w:sz w:val="20"/>
          <w:szCs w:val="20"/>
        </w:rPr>
      </w:pPr>
    </w:p>
    <w:p w14:paraId="7351BB64" w14:textId="38C95782" w:rsidR="00B830B1" w:rsidRPr="006A2779" w:rsidRDefault="00B830B1" w:rsidP="004047DF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IDFont+F1" w:hAnsiTheme="minorHAnsi" w:cstheme="minorHAnsi"/>
          <w:sz w:val="20"/>
          <w:szCs w:val="20"/>
        </w:rPr>
      </w:pP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Demontage 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>Mauerwerk (Türsturz)</w:t>
      </w: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 bis zur Bestandsdecke über </w:t>
      </w:r>
      <w:r w:rsidR="004047DF" w:rsidRPr="006A2779">
        <w:rPr>
          <w:rFonts w:asciiTheme="minorHAnsi" w:eastAsia="CIDFont+F1" w:hAnsiTheme="minorHAnsi" w:cstheme="minorHAnsi"/>
          <w:sz w:val="20"/>
          <w:szCs w:val="20"/>
        </w:rPr>
        <w:t>den Türen</w:t>
      </w: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 </w:t>
      </w:r>
      <w:r w:rsidR="004047DF" w:rsidRPr="006A2779">
        <w:rPr>
          <w:rFonts w:asciiTheme="minorHAnsi" w:eastAsia="CIDFont+F1" w:hAnsiTheme="minorHAnsi" w:cstheme="minorHAnsi"/>
          <w:sz w:val="20"/>
          <w:szCs w:val="20"/>
        </w:rPr>
        <w:t>inkl.</w:t>
      </w:r>
    </w:p>
    <w:p w14:paraId="031403AB" w14:textId="77777777" w:rsidR="004047DF" w:rsidRPr="006A2779" w:rsidRDefault="0032492D" w:rsidP="004047DF">
      <w:pPr>
        <w:autoSpaceDE w:val="0"/>
        <w:autoSpaceDN w:val="0"/>
        <w:adjustRightInd w:val="0"/>
        <w:spacing w:after="0" w:line="240" w:lineRule="auto"/>
        <w:ind w:left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 xml:space="preserve">ordnungsgemäßen </w:t>
      </w:r>
      <w:r w:rsidR="00B830B1" w:rsidRPr="006A2779">
        <w:rPr>
          <w:rFonts w:eastAsia="CIDFont+F1" w:cstheme="minorHAnsi"/>
          <w:sz w:val="20"/>
          <w:szCs w:val="20"/>
        </w:rPr>
        <w:t>Entsorgung</w:t>
      </w:r>
      <w:r w:rsidR="0031215D" w:rsidRPr="006A2779">
        <w:rPr>
          <w:rFonts w:eastAsia="CIDFont+F1" w:cstheme="minorHAnsi"/>
          <w:sz w:val="20"/>
          <w:szCs w:val="20"/>
        </w:rPr>
        <w:t xml:space="preserve"> und vorsichtiges Freilegen der Leitungen (Gas, Wasser, Elektro.) im Sturzbereich.</w:t>
      </w:r>
      <w:r w:rsidR="004047DF" w:rsidRPr="006A2779">
        <w:rPr>
          <w:rFonts w:eastAsia="CIDFont+F1" w:cstheme="minorHAnsi"/>
          <w:sz w:val="20"/>
          <w:szCs w:val="20"/>
        </w:rPr>
        <w:t xml:space="preserve">  </w:t>
      </w:r>
    </w:p>
    <w:p w14:paraId="764F0235" w14:textId="21D1A783" w:rsidR="004047DF" w:rsidRPr="006A2779" w:rsidRDefault="004047DF" w:rsidP="004047DF">
      <w:pPr>
        <w:autoSpaceDE w:val="0"/>
        <w:autoSpaceDN w:val="0"/>
        <w:adjustRightInd w:val="0"/>
        <w:spacing w:after="0" w:line="240" w:lineRule="auto"/>
        <w:ind w:left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>Die Entsorgungskosten sind im EHP einzukalkulieren.</w:t>
      </w:r>
    </w:p>
    <w:p w14:paraId="218ED31B" w14:textId="50149B92" w:rsidR="00B830B1" w:rsidRPr="006A2779" w:rsidRDefault="00B830B1" w:rsidP="0031215D">
      <w:pPr>
        <w:autoSpaceDE w:val="0"/>
        <w:autoSpaceDN w:val="0"/>
        <w:adjustRightInd w:val="0"/>
        <w:spacing w:after="0" w:line="240" w:lineRule="auto"/>
        <w:ind w:left="708"/>
        <w:rPr>
          <w:rFonts w:eastAsia="CIDFont+F1" w:cstheme="minorHAnsi"/>
          <w:sz w:val="20"/>
          <w:szCs w:val="20"/>
        </w:rPr>
      </w:pPr>
    </w:p>
    <w:p w14:paraId="7F457C4F" w14:textId="04CDEDD0" w:rsidR="00B830B1" w:rsidRPr="006A2779" w:rsidRDefault="00B830B1" w:rsidP="0031215D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Theme="minorHAnsi" w:eastAsia="CIDFont+F1" w:hAnsiTheme="minorHAnsi" w:cstheme="minorHAnsi"/>
          <w:sz w:val="20"/>
          <w:szCs w:val="20"/>
        </w:rPr>
      </w:pP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Beidseitige 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 xml:space="preserve">und oberseitige </w:t>
      </w: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Sanierung und </w:t>
      </w:r>
      <w:r w:rsidR="0032492D" w:rsidRPr="006A2779">
        <w:rPr>
          <w:rFonts w:asciiTheme="minorHAnsi" w:eastAsia="CIDFont+F1" w:hAnsiTheme="minorHAnsi" w:cstheme="minorHAnsi"/>
          <w:sz w:val="20"/>
          <w:szCs w:val="20"/>
        </w:rPr>
        <w:t>Herstellung</w:t>
      </w:r>
      <w:r w:rsidRPr="006A2779">
        <w:rPr>
          <w:rFonts w:asciiTheme="minorHAnsi" w:eastAsia="CIDFont+F1" w:hAnsiTheme="minorHAnsi" w:cstheme="minorHAnsi"/>
          <w:sz w:val="20"/>
          <w:szCs w:val="20"/>
        </w:rPr>
        <w:t xml:space="preserve"> neuer Leibungen inkl. Kantenschutz von</w:t>
      </w:r>
    </w:p>
    <w:p w14:paraId="346623AA" w14:textId="77777777" w:rsidR="0032492D" w:rsidRPr="006A2779" w:rsidRDefault="00B830B1" w:rsidP="0031215D">
      <w:pPr>
        <w:autoSpaceDE w:val="0"/>
        <w:autoSpaceDN w:val="0"/>
        <w:adjustRightInd w:val="0"/>
        <w:spacing w:after="0" w:line="240" w:lineRule="auto"/>
        <w:ind w:firstLine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>FOK bis Rohdecke.</w:t>
      </w:r>
    </w:p>
    <w:p w14:paraId="22CC85AF" w14:textId="44E027B4" w:rsidR="004047DF" w:rsidRPr="006A2779" w:rsidRDefault="0032492D" w:rsidP="006A2779">
      <w:pPr>
        <w:autoSpaceDE w:val="0"/>
        <w:autoSpaceDN w:val="0"/>
        <w:adjustRightInd w:val="0"/>
        <w:ind w:left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>Alle Anschluss-Arbeiten inkl. Putzarbeiten an das bestehende Mauerwerk sind im EHP</w:t>
      </w:r>
      <w:r w:rsidR="006A2779">
        <w:rPr>
          <w:rFonts w:eastAsia="CIDFont+F1" w:cstheme="minorHAnsi"/>
          <w:sz w:val="20"/>
          <w:szCs w:val="20"/>
        </w:rPr>
        <w:t xml:space="preserve"> </w:t>
      </w:r>
      <w:r w:rsidRPr="006A2779">
        <w:rPr>
          <w:rFonts w:eastAsia="CIDFont+F1" w:cstheme="minorHAnsi"/>
          <w:sz w:val="20"/>
          <w:szCs w:val="20"/>
        </w:rPr>
        <w:t>einzukalkulieren.</w:t>
      </w:r>
    </w:p>
    <w:p w14:paraId="2D347412" w14:textId="305F35EC" w:rsidR="004047DF" w:rsidRPr="006A2779" w:rsidRDefault="004047DF" w:rsidP="004047DF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CIDFont+F1" w:hAnsiTheme="minorHAnsi" w:cstheme="minorHAnsi"/>
          <w:sz w:val="20"/>
          <w:szCs w:val="20"/>
        </w:rPr>
      </w:pPr>
      <w:r w:rsidRPr="006A2779">
        <w:rPr>
          <w:rFonts w:asciiTheme="minorHAnsi" w:eastAsia="CIDFont+F1" w:hAnsiTheme="minorHAnsi" w:cstheme="minorHAnsi"/>
          <w:sz w:val="20"/>
          <w:szCs w:val="20"/>
        </w:rPr>
        <w:t>Herstellen Bauprovisorium aus der „alten“ Bestandstüren inkl. der bestehenden Schließanlage bis zum Einbau der neuen Kellertüren.</w:t>
      </w:r>
    </w:p>
    <w:p w14:paraId="02760854" w14:textId="77777777" w:rsidR="0031215D" w:rsidRPr="006A2779" w:rsidRDefault="0031215D" w:rsidP="0032492D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</w:p>
    <w:p w14:paraId="3C7F6976" w14:textId="14B7B73B" w:rsidR="0031215D" w:rsidRPr="006A2779" w:rsidRDefault="0031215D" w:rsidP="0031215D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CIDFont+F1" w:hAnsiTheme="minorHAnsi" w:cstheme="minorHAnsi"/>
          <w:sz w:val="20"/>
          <w:szCs w:val="20"/>
        </w:rPr>
      </w:pPr>
      <w:r w:rsidRPr="006A2779">
        <w:rPr>
          <w:rFonts w:asciiTheme="minorHAnsi" w:eastAsia="CIDFont+F1" w:hAnsiTheme="minorHAnsi" w:cstheme="minorHAnsi"/>
          <w:sz w:val="20"/>
          <w:szCs w:val="20"/>
        </w:rPr>
        <w:t>Liefern und Montieren einer DAEMMEX ST1-TOS Türe mit eingebauten Sturz , Farbe Weiß, EI²30-C,   DGL bis 100/200cm in die vorbereitete Leibung lt. Herstellervorschrift.</w:t>
      </w:r>
    </w:p>
    <w:p w14:paraId="0BC5F5CC" w14:textId="77777777" w:rsidR="006A2779" w:rsidRDefault="0031215D" w:rsidP="006A2779">
      <w:pPr>
        <w:autoSpaceDE w:val="0"/>
        <w:autoSpaceDN w:val="0"/>
        <w:adjustRightInd w:val="0"/>
        <w:spacing w:after="0" w:line="240" w:lineRule="auto"/>
        <w:ind w:firstLine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>Im Einheitspreis sind Drücker/Drücker bzw. Knauf/Drücker und Oberkopftürschließer einzukalkulieren.</w:t>
      </w:r>
    </w:p>
    <w:p w14:paraId="1853188B" w14:textId="77777777" w:rsidR="006A2779" w:rsidRDefault="006A2779" w:rsidP="006A2779">
      <w:pPr>
        <w:autoSpaceDE w:val="0"/>
        <w:autoSpaceDN w:val="0"/>
        <w:adjustRightInd w:val="0"/>
        <w:spacing w:after="0" w:line="240" w:lineRule="auto"/>
        <w:ind w:firstLine="708"/>
        <w:rPr>
          <w:rFonts w:eastAsia="CIDFont+F1" w:cstheme="minorHAnsi"/>
          <w:sz w:val="20"/>
          <w:szCs w:val="20"/>
        </w:rPr>
      </w:pPr>
    </w:p>
    <w:p w14:paraId="48EE50EE" w14:textId="44735A11" w:rsidR="0031215D" w:rsidRPr="006A2779" w:rsidRDefault="0031215D" w:rsidP="006A2779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>Doppelzylinder oder Fluchttürversch</w:t>
      </w:r>
      <w:r w:rsidR="000F77B4" w:rsidRPr="006A2779">
        <w:rPr>
          <w:rFonts w:eastAsia="CIDFont+F1" w:cstheme="minorHAnsi"/>
          <w:sz w:val="20"/>
          <w:szCs w:val="20"/>
        </w:rPr>
        <w:t>l</w:t>
      </w:r>
      <w:r w:rsidRPr="006A2779">
        <w:rPr>
          <w:rFonts w:eastAsia="CIDFont+F1" w:cstheme="minorHAnsi"/>
          <w:sz w:val="20"/>
          <w:szCs w:val="20"/>
        </w:rPr>
        <w:t xml:space="preserve">uss </w:t>
      </w:r>
      <w:r w:rsidR="000F77B4" w:rsidRPr="006A2779">
        <w:rPr>
          <w:rFonts w:eastAsia="CIDFont+F1" w:cstheme="minorHAnsi"/>
          <w:sz w:val="20"/>
          <w:szCs w:val="20"/>
        </w:rPr>
        <w:t>sind in eigenen Positionen ausgeschrieben.</w:t>
      </w:r>
    </w:p>
    <w:p w14:paraId="086049C0" w14:textId="77777777" w:rsidR="0031215D" w:rsidRPr="006A2779" w:rsidRDefault="0031215D" w:rsidP="0031215D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</w:rPr>
      </w:pPr>
    </w:p>
    <w:p w14:paraId="43751367" w14:textId="393162DA" w:rsidR="0031215D" w:rsidRPr="006A2779" w:rsidRDefault="0031215D" w:rsidP="0031215D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CIDFont+F1" w:hAnsiTheme="minorHAnsi" w:cstheme="minorHAnsi"/>
          <w:sz w:val="20"/>
          <w:szCs w:val="20"/>
        </w:rPr>
      </w:pPr>
      <w:r w:rsidRPr="006A2779">
        <w:rPr>
          <w:rFonts w:asciiTheme="minorHAnsi" w:eastAsia="CIDFont+F1" w:hAnsiTheme="minorHAnsi" w:cstheme="minorHAnsi"/>
          <w:sz w:val="20"/>
          <w:szCs w:val="20"/>
        </w:rPr>
        <w:t>Kombi-Weichschott im Sturzbereich bis zu einer Größe von Höhe 50cm und Breite 100cm inkl. alle notwendigen Nebenleistungen für eine Brandschutzqualifikation von EI90.</w:t>
      </w:r>
    </w:p>
    <w:p w14:paraId="65AF50F9" w14:textId="02CDE933" w:rsidR="0031215D" w:rsidRPr="006A2779" w:rsidRDefault="0031215D" w:rsidP="000F77B4">
      <w:pPr>
        <w:autoSpaceDE w:val="0"/>
        <w:autoSpaceDN w:val="0"/>
        <w:adjustRightInd w:val="0"/>
        <w:ind w:left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 xml:space="preserve">Kosten für Austausch Streckenisolierung, Brandschutz-Manschetten etc. und das Anbringen einer Plakette sind im Einheitspreis einzukalkulieren. </w:t>
      </w:r>
    </w:p>
    <w:p w14:paraId="759E30FF" w14:textId="77777777" w:rsidR="000F77B4" w:rsidRPr="006A2779" w:rsidRDefault="000F77B4" w:rsidP="000F77B4">
      <w:pPr>
        <w:autoSpaceDE w:val="0"/>
        <w:autoSpaceDN w:val="0"/>
        <w:adjustRightInd w:val="0"/>
        <w:ind w:left="708"/>
        <w:rPr>
          <w:rFonts w:eastAsia="CIDFont+F1" w:cstheme="minorHAnsi"/>
          <w:sz w:val="20"/>
          <w:szCs w:val="20"/>
        </w:rPr>
      </w:pPr>
    </w:p>
    <w:p w14:paraId="05226950" w14:textId="481918D6" w:rsidR="000F77B4" w:rsidRPr="006A2779" w:rsidRDefault="000F77B4" w:rsidP="000F77B4">
      <w:pPr>
        <w:autoSpaceDE w:val="0"/>
        <w:autoSpaceDN w:val="0"/>
        <w:adjustRightInd w:val="0"/>
        <w:ind w:left="708"/>
        <w:rPr>
          <w:rFonts w:eastAsia="CIDFont+F1" w:cstheme="minorHAnsi"/>
          <w:sz w:val="20"/>
          <w:szCs w:val="20"/>
        </w:rPr>
      </w:pPr>
      <w:r w:rsidRPr="006A2779">
        <w:rPr>
          <w:rFonts w:eastAsia="CIDFont+F1" w:cstheme="minorHAnsi"/>
          <w:sz w:val="20"/>
          <w:szCs w:val="20"/>
        </w:rPr>
        <w:t xml:space="preserve">Angebotenes Produkt:  DAEMMEX ST1- TOS oder </w:t>
      </w:r>
      <w:r w:rsidR="004047DF" w:rsidRPr="006A2779">
        <w:rPr>
          <w:rFonts w:eastAsia="CIDFont+F1" w:cstheme="minorHAnsi"/>
          <w:sz w:val="20"/>
          <w:szCs w:val="20"/>
        </w:rPr>
        <w:t>gleichwertig</w:t>
      </w:r>
      <w:r w:rsidRPr="006A2779">
        <w:rPr>
          <w:rFonts w:eastAsia="CIDFont+F1" w:cstheme="minorHAnsi"/>
          <w:sz w:val="20"/>
          <w:szCs w:val="20"/>
        </w:rPr>
        <w:t>.</w:t>
      </w:r>
    </w:p>
    <w:p w14:paraId="396C8B46" w14:textId="77777777" w:rsidR="0031215D" w:rsidRPr="00C20FD6" w:rsidRDefault="0031215D" w:rsidP="0032492D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  <w:sz w:val="20"/>
          <w:szCs w:val="20"/>
        </w:rPr>
      </w:pPr>
    </w:p>
    <w:p w14:paraId="3666CF49" w14:textId="77777777" w:rsidR="00C80161" w:rsidRDefault="00C80161" w:rsidP="00B830B1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  <w:sz w:val="20"/>
          <w:szCs w:val="20"/>
        </w:rPr>
      </w:pPr>
    </w:p>
    <w:p w14:paraId="05EA0906" w14:textId="5FC55B97" w:rsidR="0032492D" w:rsidRPr="00C20FD6" w:rsidRDefault="0032492D" w:rsidP="00B830B1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  <w:sz w:val="20"/>
          <w:szCs w:val="20"/>
        </w:rPr>
      </w:pPr>
      <w:r>
        <w:rPr>
          <w:rFonts w:asciiTheme="majorHAnsi" w:eastAsia="CIDFont+F1" w:hAnsiTheme="majorHAnsi" w:cstheme="majorHAnsi"/>
          <w:sz w:val="20"/>
          <w:szCs w:val="20"/>
        </w:rPr>
        <w:t xml:space="preserve">1 </w:t>
      </w:r>
      <w:proofErr w:type="spellStart"/>
      <w:r>
        <w:rPr>
          <w:rFonts w:asciiTheme="majorHAnsi" w:eastAsia="CIDFont+F1" w:hAnsiTheme="majorHAnsi" w:cstheme="majorHAnsi"/>
          <w:sz w:val="20"/>
          <w:szCs w:val="20"/>
        </w:rPr>
        <w:t>Stk</w:t>
      </w:r>
      <w:proofErr w:type="spellEnd"/>
      <w:r>
        <w:rPr>
          <w:rFonts w:asciiTheme="majorHAnsi" w:eastAsia="CIDFont+F1" w:hAnsiTheme="majorHAnsi" w:cstheme="majorHAnsi"/>
          <w:sz w:val="20"/>
          <w:szCs w:val="20"/>
        </w:rPr>
        <w:t xml:space="preserve">      LO </w:t>
      </w:r>
      <w:r>
        <w:rPr>
          <w:rFonts w:asciiTheme="majorHAnsi" w:eastAsia="CIDFont+F1" w:hAnsiTheme="majorHAnsi" w:cstheme="majorHAnsi"/>
          <w:sz w:val="20"/>
          <w:szCs w:val="20"/>
        </w:rPr>
        <w:tab/>
      </w:r>
      <w:r>
        <w:rPr>
          <w:rFonts w:asciiTheme="majorHAnsi" w:eastAsia="CIDFont+F1" w:hAnsiTheme="majorHAnsi" w:cstheme="majorHAnsi"/>
          <w:sz w:val="20"/>
          <w:szCs w:val="20"/>
        </w:rPr>
        <w:tab/>
        <w:t xml:space="preserve">SO </w:t>
      </w:r>
      <w:r>
        <w:rPr>
          <w:rFonts w:asciiTheme="majorHAnsi" w:eastAsia="CIDFont+F1" w:hAnsiTheme="majorHAnsi" w:cstheme="majorHAnsi"/>
          <w:sz w:val="20"/>
          <w:szCs w:val="20"/>
        </w:rPr>
        <w:tab/>
      </w:r>
      <w:r>
        <w:rPr>
          <w:rFonts w:asciiTheme="majorHAnsi" w:eastAsia="CIDFont+F1" w:hAnsiTheme="majorHAnsi" w:cstheme="majorHAnsi"/>
          <w:sz w:val="20"/>
          <w:szCs w:val="20"/>
        </w:rPr>
        <w:tab/>
      </w:r>
      <w:r>
        <w:rPr>
          <w:rFonts w:asciiTheme="majorHAnsi" w:eastAsia="CIDFont+F1" w:hAnsiTheme="majorHAnsi" w:cstheme="majorHAnsi"/>
          <w:sz w:val="20"/>
          <w:szCs w:val="20"/>
        </w:rPr>
        <w:tab/>
      </w:r>
      <w:r>
        <w:rPr>
          <w:rFonts w:asciiTheme="majorHAnsi" w:eastAsia="CIDFont+F1" w:hAnsiTheme="majorHAnsi" w:cstheme="majorHAnsi"/>
          <w:sz w:val="20"/>
          <w:szCs w:val="20"/>
        </w:rPr>
        <w:tab/>
        <w:t>EHP</w:t>
      </w:r>
    </w:p>
    <w:p w14:paraId="5EB3F1A8" w14:textId="77777777" w:rsidR="00A702AA" w:rsidRPr="00C20FD6" w:rsidRDefault="00A702AA" w:rsidP="00B830B1">
      <w:pPr>
        <w:autoSpaceDE w:val="0"/>
        <w:autoSpaceDN w:val="0"/>
        <w:adjustRightInd w:val="0"/>
        <w:spacing w:after="0" w:line="240" w:lineRule="auto"/>
        <w:rPr>
          <w:rFonts w:asciiTheme="majorHAnsi" w:eastAsia="CIDFont+F1" w:hAnsiTheme="majorHAnsi" w:cstheme="majorHAnsi"/>
          <w:sz w:val="20"/>
          <w:szCs w:val="20"/>
        </w:rPr>
      </w:pPr>
    </w:p>
    <w:p w14:paraId="298D71A6" w14:textId="77777777" w:rsidR="00C20FD6" w:rsidRPr="00C20FD6" w:rsidRDefault="00C20FD6" w:rsidP="00B830B1">
      <w:pPr>
        <w:rPr>
          <w:rFonts w:asciiTheme="majorHAnsi" w:eastAsia="CIDFont+F1" w:hAnsiTheme="majorHAnsi" w:cstheme="majorHAnsi"/>
          <w:sz w:val="20"/>
          <w:szCs w:val="20"/>
        </w:rPr>
      </w:pPr>
    </w:p>
    <w:sectPr w:rsidR="00C20FD6" w:rsidRPr="00C20F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1EB"/>
    <w:multiLevelType w:val="hybridMultilevel"/>
    <w:tmpl w:val="E2A43070"/>
    <w:lvl w:ilvl="0" w:tplc="81AC306A">
      <w:start w:val="1"/>
      <w:numFmt w:val="bullet"/>
      <w:lvlText w:val="-"/>
      <w:lvlJc w:val="left"/>
      <w:pPr>
        <w:ind w:left="720" w:hanging="360"/>
      </w:pPr>
      <w:rPr>
        <w:rFonts w:ascii="Calibri Light" w:eastAsia="CIDFont+F1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0CC"/>
    <w:multiLevelType w:val="hybridMultilevel"/>
    <w:tmpl w:val="BA34CAE4"/>
    <w:lvl w:ilvl="0" w:tplc="9B5E0A48">
      <w:start w:val="1210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D6196C"/>
    <w:multiLevelType w:val="hybridMultilevel"/>
    <w:tmpl w:val="E8523E56"/>
    <w:lvl w:ilvl="0" w:tplc="C9BCE3C6">
      <w:start w:val="1"/>
      <w:numFmt w:val="bullet"/>
      <w:lvlText w:val="-"/>
      <w:lvlJc w:val="left"/>
      <w:pPr>
        <w:ind w:left="720" w:hanging="360"/>
      </w:pPr>
      <w:rPr>
        <w:rFonts w:ascii="Calibri Light" w:eastAsia="CIDFont+F1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106"/>
    <w:multiLevelType w:val="hybridMultilevel"/>
    <w:tmpl w:val="1F4E4496"/>
    <w:lvl w:ilvl="0" w:tplc="C24EC722">
      <w:start w:val="1"/>
      <w:numFmt w:val="bullet"/>
      <w:lvlText w:val="-"/>
      <w:lvlJc w:val="left"/>
      <w:pPr>
        <w:ind w:left="720" w:hanging="360"/>
      </w:pPr>
      <w:rPr>
        <w:rFonts w:ascii="Calibri Light" w:eastAsia="CIDFont+F1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5E7B"/>
    <w:multiLevelType w:val="hybridMultilevel"/>
    <w:tmpl w:val="23665B72"/>
    <w:lvl w:ilvl="0" w:tplc="296EB4F8">
      <w:start w:val="1"/>
      <w:numFmt w:val="bullet"/>
      <w:lvlText w:val="-"/>
      <w:lvlJc w:val="left"/>
      <w:pPr>
        <w:ind w:left="720" w:hanging="360"/>
      </w:pPr>
      <w:rPr>
        <w:rFonts w:ascii="Calibri Light" w:eastAsia="CIDFont+F1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11861"/>
    <w:multiLevelType w:val="hybridMultilevel"/>
    <w:tmpl w:val="A0263834"/>
    <w:lvl w:ilvl="0" w:tplc="446A0F84">
      <w:start w:val="1"/>
      <w:numFmt w:val="bullet"/>
      <w:lvlText w:val="-"/>
      <w:lvlJc w:val="left"/>
      <w:pPr>
        <w:ind w:left="720" w:hanging="360"/>
      </w:pPr>
      <w:rPr>
        <w:rFonts w:ascii="Calibri Light" w:eastAsia="CIDFont+F1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65BB3"/>
    <w:multiLevelType w:val="hybridMultilevel"/>
    <w:tmpl w:val="76FAEB10"/>
    <w:lvl w:ilvl="0" w:tplc="2C2862DE">
      <w:start w:val="1"/>
      <w:numFmt w:val="bullet"/>
      <w:lvlText w:val="-"/>
      <w:lvlJc w:val="left"/>
      <w:pPr>
        <w:ind w:left="720" w:hanging="360"/>
      </w:pPr>
      <w:rPr>
        <w:rFonts w:ascii="Calibri Light" w:eastAsia="CIDFont+F1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01972">
    <w:abstractNumId w:val="1"/>
  </w:num>
  <w:num w:numId="2" w16cid:durableId="499470041">
    <w:abstractNumId w:val="5"/>
  </w:num>
  <w:num w:numId="3" w16cid:durableId="82647989">
    <w:abstractNumId w:val="6"/>
  </w:num>
  <w:num w:numId="4" w16cid:durableId="2058896568">
    <w:abstractNumId w:val="4"/>
  </w:num>
  <w:num w:numId="5" w16cid:durableId="1515610636">
    <w:abstractNumId w:val="0"/>
  </w:num>
  <w:num w:numId="6" w16cid:durableId="1341662803">
    <w:abstractNumId w:val="2"/>
  </w:num>
  <w:num w:numId="7" w16cid:durableId="63021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B1"/>
    <w:rsid w:val="000C38DA"/>
    <w:rsid w:val="000F77B4"/>
    <w:rsid w:val="001341D0"/>
    <w:rsid w:val="00207637"/>
    <w:rsid w:val="0031215D"/>
    <w:rsid w:val="0032492D"/>
    <w:rsid w:val="004047DF"/>
    <w:rsid w:val="0042160B"/>
    <w:rsid w:val="00434B31"/>
    <w:rsid w:val="00443DFD"/>
    <w:rsid w:val="004C035C"/>
    <w:rsid w:val="004F79D1"/>
    <w:rsid w:val="00526C25"/>
    <w:rsid w:val="00576F71"/>
    <w:rsid w:val="005C6775"/>
    <w:rsid w:val="005E4720"/>
    <w:rsid w:val="00643FCD"/>
    <w:rsid w:val="00665A2C"/>
    <w:rsid w:val="006A2779"/>
    <w:rsid w:val="006F41A6"/>
    <w:rsid w:val="007776D7"/>
    <w:rsid w:val="00A702AA"/>
    <w:rsid w:val="00B7348C"/>
    <w:rsid w:val="00B830B1"/>
    <w:rsid w:val="00BF5850"/>
    <w:rsid w:val="00C04C6C"/>
    <w:rsid w:val="00C20FD6"/>
    <w:rsid w:val="00C53DF1"/>
    <w:rsid w:val="00C66205"/>
    <w:rsid w:val="00C80161"/>
    <w:rsid w:val="00DC35D7"/>
    <w:rsid w:val="00EB70D8"/>
    <w:rsid w:val="00ED07D5"/>
    <w:rsid w:val="00F7016E"/>
    <w:rsid w:val="00FB7CE4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9A80"/>
  <w15:chartTrackingRefBased/>
  <w15:docId w15:val="{629D9A6C-9DCB-4E41-A43F-6A3AC7C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5A2C"/>
  </w:style>
  <w:style w:type="paragraph" w:styleId="berschrift1">
    <w:name w:val="heading 1"/>
    <w:basedOn w:val="Standard"/>
    <w:next w:val="Standard"/>
    <w:link w:val="berschrift1Zchn"/>
    <w:uiPriority w:val="9"/>
    <w:qFormat/>
    <w:rsid w:val="006A27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41A6"/>
    <w:pPr>
      <w:spacing w:after="0" w:line="240" w:lineRule="auto"/>
      <w:ind w:left="720"/>
      <w:contextualSpacing/>
    </w:pPr>
    <w:rPr>
      <w:rFonts w:ascii="Calibri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Url</dc:creator>
  <cp:keywords/>
  <dc:description/>
  <cp:lastModifiedBy>Corinna Hackl</cp:lastModifiedBy>
  <cp:revision>12</cp:revision>
  <dcterms:created xsi:type="dcterms:W3CDTF">2022-07-13T12:21:00Z</dcterms:created>
  <dcterms:modified xsi:type="dcterms:W3CDTF">2026-05-13T06:39:00Z</dcterms:modified>
</cp:coreProperties>
</file>